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0" w:type="pct"/>
        <w:jc w:val="center"/>
        <w:tblLayout w:type="fixed"/>
        <w:tblCellMar>
          <w:left w:w="115" w:type="dxa"/>
          <w:right w:w="115" w:type="dxa"/>
        </w:tblCellMar>
        <w:tblLook w:val="0600"/>
      </w:tblPr>
      <w:tblGrid>
        <w:gridCol w:w="5001"/>
        <w:gridCol w:w="480"/>
        <w:gridCol w:w="4953"/>
        <w:gridCol w:w="473"/>
        <w:gridCol w:w="4676"/>
      </w:tblGrid>
      <w:tr w:rsidR="00D8246B" w:rsidRPr="005F0F31" w:rsidTr="00D8246B">
        <w:trPr>
          <w:trHeight w:val="4003"/>
          <w:jc w:val="center"/>
        </w:trPr>
        <w:tc>
          <w:tcPr>
            <w:tcW w:w="4557" w:type="dxa"/>
            <w:vMerge w:val="restart"/>
            <w:tcBorders>
              <w:bottom w:val="nil"/>
            </w:tcBorders>
          </w:tcPr>
          <w:p w:rsidR="00547587" w:rsidRPr="00C212D2" w:rsidRDefault="00547587" w:rsidP="00547587">
            <w:pPr>
              <w:tabs>
                <w:tab w:val="left" w:pos="3036"/>
              </w:tabs>
              <w:rPr>
                <w:noProof/>
              </w:rPr>
            </w:pPr>
            <w:r>
              <w:rPr>
                <w:b/>
                <w:noProof/>
                <w:sz w:val="24"/>
                <w:szCs w:val="24"/>
              </w:rPr>
              <w:t>Vorteile der Vollzeitschulform gegenüber der PiVA:</w:t>
            </w:r>
          </w:p>
          <w:p w:rsidR="00547587" w:rsidRDefault="00547587" w:rsidP="00547587">
            <w:pPr>
              <w:pStyle w:val="Listenabsatz"/>
              <w:numPr>
                <w:ilvl w:val="0"/>
                <w:numId w:val="6"/>
              </w:numPr>
              <w:tabs>
                <w:tab w:val="left" w:pos="3036"/>
              </w:tabs>
              <w:rPr>
                <w:noProof/>
                <w:sz w:val="20"/>
                <w:szCs w:val="20"/>
              </w:rPr>
            </w:pPr>
            <w:r>
              <w:rPr>
                <w:noProof/>
                <w:sz w:val="20"/>
                <w:szCs w:val="20"/>
              </w:rPr>
              <w:t>Eine überschaubare Wochenstundenzahl von ca. 36 Stunden im Durchschnitt (statt ca. 50 Stunden in der PiVA)</w:t>
            </w:r>
          </w:p>
          <w:p w:rsidR="00547587" w:rsidRDefault="00547587" w:rsidP="00547587">
            <w:pPr>
              <w:pStyle w:val="Listenabsatz"/>
              <w:numPr>
                <w:ilvl w:val="0"/>
                <w:numId w:val="6"/>
              </w:numPr>
              <w:tabs>
                <w:tab w:val="left" w:pos="3036"/>
              </w:tabs>
              <w:rPr>
                <w:noProof/>
                <w:sz w:val="20"/>
                <w:szCs w:val="20"/>
              </w:rPr>
            </w:pPr>
            <w:r>
              <w:rPr>
                <w:noProof/>
                <w:sz w:val="20"/>
                <w:szCs w:val="20"/>
              </w:rPr>
              <w:t>Die Studierenden haben die Schulferien frei.</w:t>
            </w:r>
          </w:p>
          <w:p w:rsidR="00547587" w:rsidRDefault="00547587" w:rsidP="00547587">
            <w:pPr>
              <w:pStyle w:val="Listenabsatz"/>
              <w:numPr>
                <w:ilvl w:val="0"/>
                <w:numId w:val="6"/>
              </w:numPr>
              <w:tabs>
                <w:tab w:val="left" w:pos="3036"/>
              </w:tabs>
              <w:rPr>
                <w:noProof/>
                <w:sz w:val="20"/>
                <w:szCs w:val="20"/>
              </w:rPr>
            </w:pPr>
            <w:r>
              <w:rPr>
                <w:noProof/>
                <w:sz w:val="20"/>
                <w:szCs w:val="20"/>
              </w:rPr>
              <w:t>Die in die Vollzeitschulform integrierten drei Praktika eröffnen eine erweiterte Möglichkeit Berufsfelder kennen zu lernen.</w:t>
            </w:r>
          </w:p>
          <w:p w:rsidR="00547587" w:rsidRDefault="00547587" w:rsidP="00547587">
            <w:pPr>
              <w:pStyle w:val="Listenabsatz"/>
              <w:numPr>
                <w:ilvl w:val="0"/>
                <w:numId w:val="6"/>
              </w:numPr>
              <w:tabs>
                <w:tab w:val="left" w:pos="3036"/>
              </w:tabs>
              <w:rPr>
                <w:noProof/>
                <w:sz w:val="20"/>
                <w:szCs w:val="20"/>
              </w:rPr>
            </w:pPr>
            <w:r>
              <w:rPr>
                <w:noProof/>
                <w:sz w:val="20"/>
                <w:szCs w:val="20"/>
              </w:rPr>
              <w:t>Der Stundenumfang der Vollzeitschulform ermöglicht eine b</w:t>
            </w:r>
            <w:r w:rsidR="00F2331F">
              <w:rPr>
                <w:noProof/>
                <w:sz w:val="20"/>
                <w:szCs w:val="20"/>
              </w:rPr>
              <w:t>reitere theoretische Ausbildung: Es findet mehr Unterricht statt.</w:t>
            </w:r>
          </w:p>
          <w:p w:rsidR="00547587" w:rsidRDefault="00547587" w:rsidP="00547587">
            <w:pPr>
              <w:pStyle w:val="Listenabsatz"/>
              <w:numPr>
                <w:ilvl w:val="0"/>
                <w:numId w:val="6"/>
              </w:numPr>
              <w:tabs>
                <w:tab w:val="left" w:pos="3036"/>
              </w:tabs>
              <w:rPr>
                <w:noProof/>
                <w:sz w:val="20"/>
                <w:szCs w:val="20"/>
              </w:rPr>
            </w:pPr>
            <w:r>
              <w:rPr>
                <w:noProof/>
                <w:sz w:val="20"/>
                <w:szCs w:val="20"/>
              </w:rPr>
              <w:t xml:space="preserve">Der Unterricht endet in der Regel spätestens um 14:45 Uhr. Das schafft Raum für das private Studium und die Arbeit an der eigenen </w:t>
            </w:r>
            <w:r w:rsidR="00F2331F">
              <w:rPr>
                <w:noProof/>
                <w:sz w:val="20"/>
                <w:szCs w:val="20"/>
              </w:rPr>
              <w:t>E</w:t>
            </w:r>
            <w:r>
              <w:rPr>
                <w:noProof/>
                <w:sz w:val="20"/>
                <w:szCs w:val="20"/>
              </w:rPr>
              <w:t>ntwicklung.</w:t>
            </w:r>
          </w:p>
          <w:p w:rsidR="00547587" w:rsidRDefault="00547587" w:rsidP="00547587">
            <w:pPr>
              <w:pStyle w:val="Listenabsatz"/>
              <w:numPr>
                <w:ilvl w:val="0"/>
                <w:numId w:val="6"/>
              </w:numPr>
              <w:tabs>
                <w:tab w:val="left" w:pos="3036"/>
              </w:tabs>
              <w:rPr>
                <w:noProof/>
                <w:sz w:val="20"/>
                <w:szCs w:val="20"/>
              </w:rPr>
            </w:pPr>
            <w:r>
              <w:rPr>
                <w:noProof/>
                <w:sz w:val="20"/>
                <w:szCs w:val="20"/>
              </w:rPr>
              <w:t>Das regelmäßige Ende des Schultages kommt Studierenden mit Kindern besonders entgegen.</w:t>
            </w:r>
          </w:p>
          <w:p w:rsidR="00547587" w:rsidRDefault="00547587" w:rsidP="00547587">
            <w:pPr>
              <w:pStyle w:val="Listenabsatz"/>
              <w:numPr>
                <w:ilvl w:val="0"/>
                <w:numId w:val="6"/>
              </w:numPr>
              <w:tabs>
                <w:tab w:val="left" w:pos="3036"/>
              </w:tabs>
              <w:rPr>
                <w:noProof/>
                <w:sz w:val="20"/>
                <w:szCs w:val="20"/>
              </w:rPr>
            </w:pPr>
            <w:r>
              <w:rPr>
                <w:noProof/>
                <w:sz w:val="20"/>
                <w:szCs w:val="20"/>
              </w:rPr>
              <w:t>Die Prüfungsbelastungen sind erheblich geringer, weil die PiVA-Ausbildung alle theoretischen und praktischen Prüfungen, sowie die Abfassung eines Berichtes und der Facharbeit im letzten Ausbildungsjahr vorsieht. In der Vollzeitschulform verteilen Sie die P</w:t>
            </w:r>
            <w:r w:rsidR="00F2331F">
              <w:rPr>
                <w:noProof/>
                <w:sz w:val="20"/>
                <w:szCs w:val="20"/>
              </w:rPr>
              <w:t>rüfungen auf zwei Ausbildungsabschnitte, d. h. auf das Ende des zweiten und auf das Ende des dritten Ausbildungsjahres.</w:t>
            </w:r>
          </w:p>
          <w:p w:rsidR="0043628F" w:rsidRPr="00547587" w:rsidRDefault="00547587" w:rsidP="00547587">
            <w:pPr>
              <w:pStyle w:val="Listenabsatz"/>
              <w:numPr>
                <w:ilvl w:val="0"/>
                <w:numId w:val="6"/>
              </w:numPr>
              <w:tabs>
                <w:tab w:val="left" w:pos="3036"/>
              </w:tabs>
              <w:rPr>
                <w:noProof/>
                <w:sz w:val="20"/>
                <w:szCs w:val="20"/>
              </w:rPr>
            </w:pPr>
            <w:r w:rsidRPr="00547587">
              <w:rPr>
                <w:noProof/>
                <w:sz w:val="20"/>
                <w:szCs w:val="20"/>
              </w:rPr>
              <w:t>Durch den BAföG-Anspruch und die Möglichkeit eines Minijobs steht die Finanzierung der PiVA-Ausbildung kaum nach und fällt im Falle von Kinderzuschlägen sogar höher als in der PiVA aus.</w:t>
            </w:r>
          </w:p>
          <w:p w:rsidR="002265BE" w:rsidRDefault="002265BE" w:rsidP="0043628F">
            <w:pPr>
              <w:pStyle w:val="Default"/>
              <w:rPr>
                <w:b/>
              </w:rPr>
            </w:pPr>
          </w:p>
          <w:p w:rsidR="000837F1" w:rsidRDefault="000837F1" w:rsidP="00547587">
            <w:pPr>
              <w:pStyle w:val="Default"/>
              <w:rPr>
                <w:rFonts w:asciiTheme="minorHAnsi" w:hAnsiTheme="minorHAnsi"/>
                <w:b/>
                <w:bCs/>
              </w:rPr>
            </w:pPr>
          </w:p>
          <w:p w:rsidR="000837F1" w:rsidRDefault="000837F1" w:rsidP="00547587">
            <w:pPr>
              <w:pStyle w:val="Default"/>
              <w:rPr>
                <w:rFonts w:asciiTheme="minorHAnsi" w:hAnsiTheme="minorHAnsi"/>
                <w:b/>
                <w:bCs/>
              </w:rPr>
            </w:pPr>
          </w:p>
          <w:p w:rsidR="00547587" w:rsidRPr="00837352" w:rsidRDefault="00547587" w:rsidP="00547587">
            <w:pPr>
              <w:pStyle w:val="Default"/>
              <w:rPr>
                <w:rFonts w:asciiTheme="minorHAnsi" w:hAnsiTheme="minorHAnsi"/>
              </w:rPr>
            </w:pPr>
            <w:r w:rsidRPr="00837352">
              <w:rPr>
                <w:rFonts w:asciiTheme="minorHAnsi" w:hAnsiTheme="minorHAnsi"/>
                <w:b/>
                <w:bCs/>
              </w:rPr>
              <w:lastRenderedPageBreak/>
              <w:t>Aufstiegs-BAföG in der Erzieherausbildung</w:t>
            </w:r>
          </w:p>
          <w:p w:rsidR="00547587" w:rsidRPr="000E2520" w:rsidRDefault="00547587" w:rsidP="00547587">
            <w:pPr>
              <w:pStyle w:val="Default"/>
              <w:rPr>
                <w:b/>
                <w:bCs/>
                <w:sz w:val="21"/>
                <w:szCs w:val="21"/>
              </w:rPr>
            </w:pPr>
          </w:p>
          <w:p w:rsidR="00547587" w:rsidRPr="00837352" w:rsidRDefault="00547587" w:rsidP="00547587">
            <w:pPr>
              <w:pStyle w:val="Default"/>
              <w:jc w:val="both"/>
              <w:rPr>
                <w:sz w:val="21"/>
                <w:szCs w:val="21"/>
              </w:rPr>
            </w:pPr>
            <w:r>
              <w:rPr>
                <w:bCs/>
                <w:sz w:val="21"/>
                <w:szCs w:val="21"/>
              </w:rPr>
              <w:t>Zwei Jahre lang kein Verdienst, dafür täglich die Schulbank dr</w:t>
            </w:r>
            <w:r w:rsidR="000837F1">
              <w:rPr>
                <w:bCs/>
                <w:sz w:val="21"/>
                <w:szCs w:val="21"/>
              </w:rPr>
              <w:t>ücken – die klassische Erzieher</w:t>
            </w:r>
            <w:r>
              <w:rPr>
                <w:bCs/>
                <w:sz w:val="21"/>
                <w:szCs w:val="21"/>
              </w:rPr>
              <w:t xml:space="preserve">ausbildung in Vollzeit war für viele Interessenten in den letzten Jahren wenig attraktiv. Wer ErzieherIn werden wollte, entschied sich häufig für die praxisintegrierte Ausbildung, die von Beginn an vergütet wird. Was aber kaum jemand weiß: </w:t>
            </w:r>
            <w:r w:rsidRPr="00837352">
              <w:rPr>
                <w:bCs/>
                <w:sz w:val="21"/>
                <w:szCs w:val="21"/>
              </w:rPr>
              <w:t>Bund und Länder  fördern mit dem Aufstiegs-Bafög die Ausbildung in Vollzeit. Wer Kinder hat profitiert sogar besonders</w:t>
            </w:r>
            <w:r>
              <w:rPr>
                <w:bCs/>
                <w:sz w:val="21"/>
                <w:szCs w:val="21"/>
              </w:rPr>
              <w:t>!</w:t>
            </w:r>
          </w:p>
          <w:p w:rsidR="00547587" w:rsidRPr="000868C6" w:rsidRDefault="00547587" w:rsidP="00547587">
            <w:pPr>
              <w:pStyle w:val="Default"/>
              <w:rPr>
                <w:b/>
                <w:bCs/>
                <w:sz w:val="21"/>
                <w:szCs w:val="21"/>
              </w:rPr>
            </w:pPr>
          </w:p>
          <w:p w:rsidR="00547587" w:rsidRDefault="00547587" w:rsidP="00547587">
            <w:pPr>
              <w:pStyle w:val="Default"/>
              <w:jc w:val="both"/>
              <w:rPr>
                <w:b/>
                <w:bCs/>
              </w:rPr>
            </w:pPr>
          </w:p>
          <w:p w:rsidR="00547587" w:rsidRDefault="00547587" w:rsidP="00F2331F">
            <w:pPr>
              <w:pStyle w:val="Default"/>
              <w:rPr>
                <w:b/>
                <w:bCs/>
              </w:rPr>
            </w:pPr>
            <w:r w:rsidRPr="0043628F">
              <w:rPr>
                <w:b/>
                <w:bCs/>
              </w:rPr>
              <w:t xml:space="preserve">Welche Gegenleistung </w:t>
            </w:r>
            <w:r w:rsidR="00F2331F">
              <w:rPr>
                <w:b/>
                <w:bCs/>
              </w:rPr>
              <w:t>muss man</w:t>
            </w:r>
            <w:r w:rsidRPr="0043628F">
              <w:rPr>
                <w:b/>
                <w:bCs/>
              </w:rPr>
              <w:t xml:space="preserve"> erbringen, um das Aufstiegs-BAföG zu erhalten?</w:t>
            </w:r>
          </w:p>
          <w:p w:rsidR="00547587" w:rsidRPr="0043628F" w:rsidRDefault="00547587" w:rsidP="00547587">
            <w:pPr>
              <w:pStyle w:val="Default"/>
            </w:pPr>
          </w:p>
          <w:p w:rsidR="00547587" w:rsidRDefault="00547587" w:rsidP="000837F1">
            <w:pPr>
              <w:pStyle w:val="Default"/>
              <w:numPr>
                <w:ilvl w:val="0"/>
                <w:numId w:val="3"/>
              </w:numPr>
              <w:spacing w:after="18"/>
              <w:rPr>
                <w:sz w:val="21"/>
                <w:szCs w:val="21"/>
              </w:rPr>
            </w:pPr>
            <w:r>
              <w:rPr>
                <w:sz w:val="21"/>
                <w:szCs w:val="21"/>
              </w:rPr>
              <w:t>Lediglich eine regelmäßige Teilnahme am fachtheoretischen Unterricht.</w:t>
            </w:r>
          </w:p>
          <w:p w:rsidR="00547587" w:rsidRPr="000868C6" w:rsidRDefault="00547587" w:rsidP="000837F1">
            <w:pPr>
              <w:pStyle w:val="Default"/>
              <w:numPr>
                <w:ilvl w:val="0"/>
                <w:numId w:val="3"/>
              </w:numPr>
              <w:spacing w:after="18"/>
              <w:rPr>
                <w:sz w:val="21"/>
                <w:szCs w:val="21"/>
              </w:rPr>
            </w:pPr>
            <w:r>
              <w:rPr>
                <w:sz w:val="21"/>
                <w:szCs w:val="21"/>
              </w:rPr>
              <w:t>Die Fördersumme muss grundsätzlich nicht zurückgezahlt werden.</w:t>
            </w:r>
          </w:p>
          <w:p w:rsidR="00547587" w:rsidRDefault="00547587" w:rsidP="000837F1">
            <w:pPr>
              <w:pStyle w:val="Default"/>
              <w:numPr>
                <w:ilvl w:val="0"/>
                <w:numId w:val="3"/>
              </w:numPr>
              <w:rPr>
                <w:sz w:val="21"/>
                <w:szCs w:val="21"/>
              </w:rPr>
            </w:pPr>
            <w:r>
              <w:rPr>
                <w:sz w:val="21"/>
                <w:szCs w:val="21"/>
              </w:rPr>
              <w:t>Wer selbstverschuldet mehr als 30 % der Unterrichtszeit fehlt, muss die Fördersumme zurückzahlen.</w:t>
            </w:r>
          </w:p>
          <w:p w:rsidR="00547587" w:rsidRDefault="00547587" w:rsidP="000837F1">
            <w:pPr>
              <w:pStyle w:val="Default"/>
              <w:numPr>
                <w:ilvl w:val="0"/>
                <w:numId w:val="3"/>
              </w:numPr>
              <w:rPr>
                <w:sz w:val="21"/>
                <w:szCs w:val="21"/>
              </w:rPr>
            </w:pPr>
            <w:r>
              <w:rPr>
                <w:sz w:val="21"/>
                <w:szCs w:val="21"/>
              </w:rPr>
              <w:t>Die Förderung ist nicht an das Bestehen der Prüfung gebunden.</w:t>
            </w:r>
          </w:p>
          <w:p w:rsidR="00D8246B" w:rsidRPr="00CF5215" w:rsidRDefault="00547587" w:rsidP="000837F1">
            <w:pPr>
              <w:pStyle w:val="Default"/>
              <w:numPr>
                <w:ilvl w:val="0"/>
                <w:numId w:val="3"/>
              </w:numPr>
            </w:pPr>
            <w:r>
              <w:rPr>
                <w:sz w:val="21"/>
                <w:szCs w:val="21"/>
              </w:rPr>
              <w:t xml:space="preserve">Halbjährlich wird der Schulbesuch durch die Klassenleitung </w:t>
            </w:r>
            <w:r w:rsidR="000837F1">
              <w:rPr>
                <w:sz w:val="21"/>
                <w:szCs w:val="21"/>
              </w:rPr>
              <w:t>mittels</w:t>
            </w:r>
            <w:r>
              <w:rPr>
                <w:sz w:val="21"/>
                <w:szCs w:val="21"/>
              </w:rPr>
              <w:t xml:space="preserve"> ein</w:t>
            </w:r>
            <w:r w:rsidR="000837F1">
              <w:rPr>
                <w:sz w:val="21"/>
                <w:szCs w:val="21"/>
              </w:rPr>
              <w:t>es entsprechenden</w:t>
            </w:r>
            <w:r>
              <w:rPr>
                <w:sz w:val="21"/>
                <w:szCs w:val="21"/>
              </w:rPr>
              <w:t xml:space="preserve"> Dokument</w:t>
            </w:r>
            <w:r w:rsidR="000837F1">
              <w:rPr>
                <w:sz w:val="21"/>
                <w:szCs w:val="21"/>
              </w:rPr>
              <w:t>s</w:t>
            </w:r>
            <w:r>
              <w:rPr>
                <w:sz w:val="21"/>
                <w:szCs w:val="21"/>
              </w:rPr>
              <w:t xml:space="preserve"> dem BAföG-Amt angezeigt.</w:t>
            </w:r>
          </w:p>
        </w:tc>
        <w:tc>
          <w:tcPr>
            <w:tcW w:w="437" w:type="dxa"/>
            <w:tcBorders>
              <w:bottom w:val="nil"/>
            </w:tcBorders>
          </w:tcPr>
          <w:p w:rsidR="00D8246B" w:rsidRPr="005F0F31" w:rsidRDefault="00D8246B" w:rsidP="00B53C3F">
            <w:pPr>
              <w:rPr>
                <w:noProof/>
              </w:rPr>
            </w:pPr>
          </w:p>
        </w:tc>
        <w:tc>
          <w:tcPr>
            <w:tcW w:w="4513" w:type="dxa"/>
            <w:tcBorders>
              <w:bottom w:val="nil"/>
            </w:tcBorders>
          </w:tcPr>
          <w:p w:rsidR="00D8246B" w:rsidRPr="000C1E19" w:rsidRDefault="000A0882" w:rsidP="00B53C3F">
            <w:pPr>
              <w:pStyle w:val="StandardWeb"/>
              <w:spacing w:before="0" w:beforeAutospacing="0"/>
              <w:rPr>
                <w:rFonts w:ascii="Calibri" w:hAnsi="Calibri"/>
                <w:b/>
              </w:rPr>
            </w:pPr>
            <w:r w:rsidRPr="000C1E19">
              <w:rPr>
                <w:rFonts w:ascii="Calibri" w:hAnsi="Calibri"/>
                <w:b/>
              </w:rPr>
              <w:t xml:space="preserve">Adressen für </w:t>
            </w:r>
            <w:r w:rsidR="00216359" w:rsidRPr="000C1E19">
              <w:rPr>
                <w:rFonts w:ascii="Calibri" w:hAnsi="Calibri"/>
                <w:b/>
              </w:rPr>
              <w:t>Informationen zum Aufstiegs-BAföG:</w:t>
            </w:r>
          </w:p>
          <w:p w:rsidR="000C1E19" w:rsidRDefault="000C1E19" w:rsidP="00F2331F">
            <w:pPr>
              <w:pStyle w:val="StandardWeb"/>
              <w:spacing w:before="0" w:beforeAutospacing="0" w:after="0" w:afterAutospacing="0"/>
              <w:rPr>
                <w:rFonts w:ascii="Calibri" w:hAnsi="Calibri"/>
                <w:sz w:val="20"/>
                <w:szCs w:val="20"/>
              </w:rPr>
            </w:pPr>
            <w:r>
              <w:rPr>
                <w:rFonts w:ascii="Calibri" w:hAnsi="Calibri"/>
                <w:sz w:val="20"/>
                <w:szCs w:val="20"/>
              </w:rPr>
              <w:t>Ein grundlegend informierender Aufsatz aus 2022 plus Interview</w:t>
            </w:r>
            <w:r w:rsidR="00713437">
              <w:rPr>
                <w:rFonts w:ascii="Calibri" w:hAnsi="Calibri"/>
                <w:sz w:val="20"/>
                <w:szCs w:val="20"/>
              </w:rPr>
              <w:t xml:space="preserve"> zur Vertiefung</w:t>
            </w:r>
            <w:r>
              <w:rPr>
                <w:rFonts w:ascii="Calibri" w:hAnsi="Calibri"/>
                <w:sz w:val="20"/>
                <w:szCs w:val="20"/>
              </w:rPr>
              <w:t>, der auch die Grundlage dieses Flyers ist:</w:t>
            </w:r>
          </w:p>
          <w:p w:rsidR="00F2331F" w:rsidRDefault="00F2331F" w:rsidP="00F2331F">
            <w:pPr>
              <w:pStyle w:val="StandardWeb"/>
              <w:spacing w:before="0" w:beforeAutospacing="0" w:after="0" w:afterAutospacing="0"/>
              <w:rPr>
                <w:rFonts w:ascii="Calibri" w:hAnsi="Calibri"/>
                <w:sz w:val="20"/>
                <w:szCs w:val="20"/>
              </w:rPr>
            </w:pPr>
          </w:p>
          <w:p w:rsidR="000C1E19" w:rsidRPr="000C1E19" w:rsidRDefault="004F13BB" w:rsidP="00B53C3F">
            <w:pPr>
              <w:pStyle w:val="StandardWeb"/>
              <w:spacing w:before="0" w:beforeAutospacing="0"/>
              <w:rPr>
                <w:rFonts w:ascii="Calibri" w:hAnsi="Calibri"/>
                <w:sz w:val="20"/>
                <w:szCs w:val="20"/>
              </w:rPr>
            </w:pPr>
            <w:hyperlink r:id="rId7" w:history="1">
              <w:r w:rsidR="000C1E19" w:rsidRPr="000C1E19">
                <w:rPr>
                  <w:rStyle w:val="Hyperlink"/>
                  <w:sz w:val="20"/>
                  <w:szCs w:val="20"/>
                </w:rPr>
                <w:t>www.erzieherin-ausbildung.de/content/aufstiegs-bafog-forderungen-fur-die-ausbildung-zur-erzieherin</w:t>
              </w:r>
            </w:hyperlink>
            <w:r w:rsidR="000C1E19" w:rsidRPr="000C1E19">
              <w:rPr>
                <w:sz w:val="20"/>
                <w:szCs w:val="20"/>
              </w:rPr>
              <w:t xml:space="preserve"> </w:t>
            </w:r>
          </w:p>
          <w:p w:rsidR="000C1E19" w:rsidRDefault="000C1E19" w:rsidP="00F2331F">
            <w:pPr>
              <w:pStyle w:val="StandardWeb"/>
              <w:spacing w:before="0" w:beforeAutospacing="0" w:after="0" w:afterAutospacing="0"/>
              <w:rPr>
                <w:rFonts w:ascii="Calibri" w:hAnsi="Calibri"/>
                <w:sz w:val="20"/>
                <w:szCs w:val="20"/>
              </w:rPr>
            </w:pPr>
            <w:r>
              <w:rPr>
                <w:rFonts w:ascii="Calibri" w:hAnsi="Calibri"/>
                <w:sz w:val="20"/>
                <w:szCs w:val="20"/>
              </w:rPr>
              <w:t>Die Grundi</w:t>
            </w:r>
            <w:r w:rsidR="00DF42AF">
              <w:rPr>
                <w:rFonts w:ascii="Calibri" w:hAnsi="Calibri"/>
                <w:sz w:val="20"/>
                <w:szCs w:val="20"/>
              </w:rPr>
              <w:t>n</w:t>
            </w:r>
            <w:r>
              <w:rPr>
                <w:rFonts w:ascii="Calibri" w:hAnsi="Calibri"/>
                <w:sz w:val="20"/>
                <w:szCs w:val="20"/>
              </w:rPr>
              <w:t>f</w:t>
            </w:r>
            <w:r w:rsidR="003C22AA">
              <w:rPr>
                <w:rFonts w:ascii="Calibri" w:hAnsi="Calibri"/>
                <w:sz w:val="20"/>
                <w:szCs w:val="20"/>
              </w:rPr>
              <w:t>ormation des Bundesministeriums:</w:t>
            </w:r>
          </w:p>
          <w:p w:rsidR="00F2331F" w:rsidRDefault="00F2331F" w:rsidP="00F2331F">
            <w:pPr>
              <w:pStyle w:val="StandardWeb"/>
              <w:spacing w:before="0" w:beforeAutospacing="0" w:after="0" w:afterAutospacing="0"/>
              <w:rPr>
                <w:rFonts w:ascii="Calibri" w:hAnsi="Calibri"/>
                <w:sz w:val="20"/>
                <w:szCs w:val="20"/>
              </w:rPr>
            </w:pPr>
          </w:p>
          <w:p w:rsidR="003C22AA" w:rsidRPr="000C1E19" w:rsidRDefault="004F13BB" w:rsidP="00B53C3F">
            <w:pPr>
              <w:pStyle w:val="StandardWeb"/>
              <w:spacing w:before="0" w:beforeAutospacing="0"/>
              <w:rPr>
                <w:rFonts w:ascii="Calibri" w:hAnsi="Calibri"/>
                <w:sz w:val="20"/>
                <w:szCs w:val="20"/>
              </w:rPr>
            </w:pPr>
            <w:hyperlink r:id="rId8" w:history="1">
              <w:r w:rsidR="003C22AA" w:rsidRPr="00D35B08">
                <w:rPr>
                  <w:rStyle w:val="Hyperlink"/>
                  <w:rFonts w:ascii="Calibri" w:hAnsi="Calibri"/>
                  <w:sz w:val="20"/>
                  <w:szCs w:val="20"/>
                </w:rPr>
                <w:t>https://www.aufstiegs-bafoeg.de/aufstiegsbafoeg/de/home/home_node.html</w:t>
              </w:r>
            </w:hyperlink>
            <w:r w:rsidR="003C22AA">
              <w:rPr>
                <w:rFonts w:ascii="Calibri" w:hAnsi="Calibri"/>
                <w:sz w:val="20"/>
                <w:szCs w:val="20"/>
              </w:rPr>
              <w:t xml:space="preserve"> </w:t>
            </w:r>
          </w:p>
          <w:p w:rsidR="000C1E19" w:rsidRDefault="000C1E19" w:rsidP="00F2331F">
            <w:pPr>
              <w:pStyle w:val="StandardWeb"/>
              <w:spacing w:before="0" w:beforeAutospacing="0" w:after="0" w:afterAutospacing="0"/>
              <w:rPr>
                <w:rFonts w:ascii="Calibri" w:hAnsi="Calibri"/>
                <w:sz w:val="20"/>
                <w:szCs w:val="20"/>
              </w:rPr>
            </w:pPr>
            <w:r>
              <w:rPr>
                <w:rFonts w:ascii="Calibri" w:hAnsi="Calibri"/>
                <w:sz w:val="20"/>
                <w:szCs w:val="20"/>
              </w:rPr>
              <w:t>Sehr übersichtlich, informativ und stets aktuell:</w:t>
            </w:r>
          </w:p>
          <w:p w:rsidR="00F2331F" w:rsidRPr="000C1E19" w:rsidRDefault="00F2331F" w:rsidP="00F2331F">
            <w:pPr>
              <w:pStyle w:val="StandardWeb"/>
              <w:spacing w:before="0" w:beforeAutospacing="0" w:after="0" w:afterAutospacing="0"/>
              <w:rPr>
                <w:rFonts w:ascii="Calibri" w:hAnsi="Calibri"/>
                <w:sz w:val="20"/>
                <w:szCs w:val="20"/>
              </w:rPr>
            </w:pPr>
          </w:p>
          <w:p w:rsidR="000C1E19" w:rsidRDefault="004F13BB" w:rsidP="00B53C3F">
            <w:pPr>
              <w:pStyle w:val="StandardWeb"/>
              <w:spacing w:before="0" w:beforeAutospacing="0"/>
            </w:pPr>
            <w:hyperlink r:id="rId9" w:anchor="Wer-kann-Aufstiegs-BAfoeG-beantragen" w:history="1">
              <w:r w:rsidR="000C1E19" w:rsidRPr="000C1E19">
                <w:rPr>
                  <w:rStyle w:val="Hyperlink"/>
                  <w:rFonts w:ascii="Calibri" w:hAnsi="Calibri"/>
                  <w:sz w:val="20"/>
                  <w:szCs w:val="20"/>
                </w:rPr>
                <w:t>https://www.bafoeg-aktuell.de/aufstiegs-bafoeg/#Wer-kann-Aufstiegs-BAfoeG-beantragen</w:t>
              </w:r>
            </w:hyperlink>
          </w:p>
          <w:p w:rsidR="00F2331F" w:rsidRPr="000C1E19" w:rsidRDefault="00F2331F" w:rsidP="00B53C3F">
            <w:pPr>
              <w:pStyle w:val="StandardWeb"/>
              <w:spacing w:before="0" w:beforeAutospacing="0"/>
              <w:rPr>
                <w:rFonts w:ascii="Calibri" w:hAnsi="Calibri"/>
                <w:sz w:val="20"/>
                <w:szCs w:val="20"/>
              </w:rPr>
            </w:pPr>
          </w:p>
          <w:p w:rsidR="000A0882" w:rsidRPr="006F79A7" w:rsidRDefault="006A4483" w:rsidP="00B53C3F">
            <w:pPr>
              <w:pStyle w:val="StandardWeb"/>
              <w:spacing w:before="0" w:beforeAutospacing="0"/>
              <w:rPr>
                <w:rFonts w:ascii="Calibri" w:hAnsi="Calibri"/>
                <w:b/>
              </w:rPr>
            </w:pPr>
            <w:r w:rsidRPr="006F79A7">
              <w:rPr>
                <w:rFonts w:ascii="Calibri" w:hAnsi="Calibri"/>
                <w:b/>
              </w:rPr>
              <w:t>Studierendenwerke</w:t>
            </w:r>
          </w:p>
          <w:p w:rsidR="00BE47D7" w:rsidRPr="00713437" w:rsidRDefault="006A4483" w:rsidP="00B53C3F">
            <w:pPr>
              <w:pStyle w:val="StandardWeb"/>
              <w:spacing w:before="0" w:beforeAutospacing="0"/>
              <w:rPr>
                <w:rFonts w:ascii="Calibri" w:hAnsi="Calibri"/>
                <w:sz w:val="20"/>
                <w:szCs w:val="20"/>
              </w:rPr>
            </w:pPr>
            <w:r>
              <w:rPr>
                <w:rFonts w:ascii="Calibri" w:hAnsi="Calibri"/>
                <w:sz w:val="20"/>
                <w:szCs w:val="20"/>
              </w:rPr>
              <w:t xml:space="preserve">Marburg: </w:t>
            </w:r>
            <w:hyperlink r:id="rId10" w:history="1">
              <w:r w:rsidR="00713437" w:rsidRPr="00D35B08">
                <w:rPr>
                  <w:rStyle w:val="Hyperlink"/>
                  <w:rFonts w:ascii="Calibri" w:hAnsi="Calibri"/>
                  <w:sz w:val="20"/>
                  <w:szCs w:val="20"/>
                </w:rPr>
                <w:t>https://studierendenwerk-marburg.de/</w:t>
              </w:r>
            </w:hyperlink>
            <w:r w:rsidR="00713437">
              <w:rPr>
                <w:rFonts w:ascii="Calibri" w:hAnsi="Calibri"/>
                <w:sz w:val="20"/>
                <w:szCs w:val="20"/>
              </w:rPr>
              <w:t xml:space="preserve"> </w:t>
            </w:r>
          </w:p>
          <w:p w:rsidR="003C22AA" w:rsidRDefault="006A4483" w:rsidP="00B53C3F">
            <w:pPr>
              <w:pStyle w:val="StandardWeb"/>
              <w:spacing w:before="0" w:beforeAutospacing="0"/>
              <w:rPr>
                <w:rFonts w:ascii="Calibri" w:hAnsi="Calibri"/>
                <w:sz w:val="20"/>
                <w:szCs w:val="20"/>
              </w:rPr>
            </w:pPr>
            <w:r>
              <w:rPr>
                <w:rFonts w:ascii="Calibri" w:hAnsi="Calibri"/>
                <w:sz w:val="20"/>
                <w:szCs w:val="20"/>
              </w:rPr>
              <w:t xml:space="preserve">Gießen: </w:t>
            </w:r>
            <w:hyperlink r:id="rId11" w:history="1">
              <w:r w:rsidR="00713437" w:rsidRPr="00D35B08">
                <w:rPr>
                  <w:rStyle w:val="Hyperlink"/>
                  <w:rFonts w:ascii="Calibri" w:hAnsi="Calibri"/>
                  <w:sz w:val="20"/>
                  <w:szCs w:val="20"/>
                </w:rPr>
                <w:t>https://www.stwgi.de/</w:t>
              </w:r>
            </w:hyperlink>
          </w:p>
          <w:p w:rsidR="00713437" w:rsidRPr="00713437" w:rsidRDefault="00713437" w:rsidP="00B53C3F">
            <w:pPr>
              <w:pStyle w:val="StandardWeb"/>
              <w:spacing w:before="0" w:beforeAutospacing="0"/>
              <w:rPr>
                <w:rFonts w:ascii="Calibri" w:hAnsi="Calibri"/>
                <w:sz w:val="20"/>
                <w:szCs w:val="20"/>
              </w:rPr>
            </w:pPr>
          </w:p>
          <w:p w:rsidR="000A0882" w:rsidRDefault="000A0882" w:rsidP="00B53C3F">
            <w:pPr>
              <w:pStyle w:val="StandardWeb"/>
              <w:spacing w:before="0" w:beforeAutospacing="0"/>
              <w:rPr>
                <w:rFonts w:ascii="Calibri" w:hAnsi="Calibri"/>
                <w:sz w:val="28"/>
                <w:szCs w:val="28"/>
              </w:rPr>
            </w:pPr>
          </w:p>
          <w:p w:rsidR="000837F1" w:rsidRDefault="000837F1" w:rsidP="00547587">
            <w:pPr>
              <w:pStyle w:val="Default"/>
              <w:rPr>
                <w:rFonts w:eastAsia="Times New Roman" w:cs="Times New Roman"/>
                <w:color w:val="auto"/>
                <w:sz w:val="28"/>
                <w:szCs w:val="28"/>
                <w:lang w:eastAsia="de-DE"/>
              </w:rPr>
            </w:pPr>
          </w:p>
          <w:p w:rsidR="00F2331F" w:rsidRDefault="00F2331F" w:rsidP="00547587">
            <w:pPr>
              <w:pStyle w:val="Default"/>
              <w:rPr>
                <w:b/>
              </w:rPr>
            </w:pPr>
          </w:p>
          <w:p w:rsidR="00547587" w:rsidRDefault="00547587" w:rsidP="00547587">
            <w:pPr>
              <w:pStyle w:val="Default"/>
              <w:rPr>
                <w:b/>
              </w:rPr>
            </w:pPr>
            <w:r>
              <w:rPr>
                <w:b/>
              </w:rPr>
              <w:lastRenderedPageBreak/>
              <w:t>Wer kann das Aufstiegs-BAföG beantragen?</w:t>
            </w:r>
          </w:p>
          <w:p w:rsidR="00547587" w:rsidRPr="002265BE" w:rsidRDefault="00547587" w:rsidP="00547587">
            <w:pPr>
              <w:pStyle w:val="Default"/>
              <w:jc w:val="both"/>
              <w:rPr>
                <w:sz w:val="20"/>
                <w:szCs w:val="20"/>
              </w:rPr>
            </w:pPr>
            <w:r>
              <w:rPr>
                <w:sz w:val="20"/>
                <w:szCs w:val="20"/>
              </w:rPr>
              <w:t>Die Erfahrung der vergangen Jahre hat gezeigt, dass alle AbsolventInnen der Sozialassistenz das BAföG beantrag</w:t>
            </w:r>
            <w:r w:rsidR="00F2331F">
              <w:rPr>
                <w:sz w:val="20"/>
                <w:szCs w:val="20"/>
              </w:rPr>
              <w:t>en konnten. Auch FachabiturientI</w:t>
            </w:r>
            <w:r>
              <w:rPr>
                <w:sz w:val="20"/>
                <w:szCs w:val="20"/>
              </w:rPr>
              <w:t xml:space="preserve">nnen, die mit einem entsprechenden Praktikumsnachweis in die Fachschule aufgenommen wurden, wurden in den vergangenen Jahren im selben Umfang gefördert. </w:t>
            </w:r>
            <w:r w:rsidR="00F2331F">
              <w:rPr>
                <w:sz w:val="20"/>
                <w:szCs w:val="20"/>
              </w:rPr>
              <w:t>Man kann allgemein davon ausgehen, dass die Aufnahme in die Fachschule einen Anspruch auf BAföG in Aussicht stellt.</w:t>
            </w:r>
          </w:p>
          <w:p w:rsidR="00547587" w:rsidRDefault="00547587" w:rsidP="00547587">
            <w:pPr>
              <w:pStyle w:val="Default"/>
              <w:rPr>
                <w:b/>
              </w:rPr>
            </w:pPr>
          </w:p>
          <w:p w:rsidR="00547587" w:rsidRDefault="00547587" w:rsidP="00547587">
            <w:pPr>
              <w:pStyle w:val="Default"/>
              <w:rPr>
                <w:b/>
              </w:rPr>
            </w:pPr>
            <w:r>
              <w:rPr>
                <w:b/>
              </w:rPr>
              <w:t>Mit welchen Fördersummen kann gerechnet werden?</w:t>
            </w:r>
          </w:p>
          <w:p w:rsidR="00547587" w:rsidRPr="00C76155" w:rsidRDefault="00547587" w:rsidP="00547587">
            <w:pPr>
              <w:pStyle w:val="Default"/>
              <w:rPr>
                <w:b/>
                <w:sz w:val="20"/>
                <w:szCs w:val="20"/>
              </w:rPr>
            </w:pPr>
          </w:p>
          <w:p w:rsidR="00547587" w:rsidRDefault="00547587" w:rsidP="00547587">
            <w:pPr>
              <w:pStyle w:val="Default"/>
              <w:rPr>
                <w:sz w:val="20"/>
                <w:szCs w:val="20"/>
              </w:rPr>
            </w:pPr>
            <w:r>
              <w:rPr>
                <w:b/>
                <w:sz w:val="20"/>
                <w:szCs w:val="20"/>
              </w:rPr>
              <w:t>Beispiel 1:</w:t>
            </w:r>
            <w:r>
              <w:rPr>
                <w:sz w:val="20"/>
                <w:szCs w:val="20"/>
              </w:rPr>
              <w:t xml:space="preserve"> </w:t>
            </w:r>
          </w:p>
          <w:p w:rsidR="00547587" w:rsidRDefault="00547587" w:rsidP="00547587">
            <w:pPr>
              <w:pStyle w:val="Default"/>
              <w:jc w:val="both"/>
              <w:rPr>
                <w:sz w:val="20"/>
                <w:szCs w:val="20"/>
              </w:rPr>
            </w:pPr>
            <w:r>
              <w:rPr>
                <w:sz w:val="20"/>
                <w:szCs w:val="20"/>
              </w:rPr>
              <w:t>AntragstellerIn ist ledig, hat keine Kinder und verfügt über kein eigenes Einkommen: maximale monatliche Fördersumme: 892 Euro.</w:t>
            </w:r>
          </w:p>
          <w:p w:rsidR="00547587" w:rsidRDefault="00547587" w:rsidP="00547587">
            <w:pPr>
              <w:pStyle w:val="Default"/>
              <w:jc w:val="both"/>
              <w:rPr>
                <w:sz w:val="20"/>
                <w:szCs w:val="20"/>
              </w:rPr>
            </w:pPr>
            <w:r>
              <w:rPr>
                <w:sz w:val="20"/>
                <w:szCs w:val="20"/>
              </w:rPr>
              <w:t>Ein Minijob (450 Euro) bleibt anrechnungsfrei.</w:t>
            </w:r>
          </w:p>
          <w:p w:rsidR="00547587" w:rsidRDefault="00547587" w:rsidP="00547587">
            <w:pPr>
              <w:pStyle w:val="Default"/>
              <w:rPr>
                <w:sz w:val="20"/>
                <w:szCs w:val="20"/>
              </w:rPr>
            </w:pPr>
          </w:p>
          <w:p w:rsidR="00547587" w:rsidRDefault="00547587" w:rsidP="00547587">
            <w:pPr>
              <w:pStyle w:val="Default"/>
              <w:rPr>
                <w:b/>
                <w:sz w:val="20"/>
                <w:szCs w:val="20"/>
              </w:rPr>
            </w:pPr>
            <w:r>
              <w:rPr>
                <w:b/>
                <w:sz w:val="20"/>
                <w:szCs w:val="20"/>
              </w:rPr>
              <w:t>Beispiel 2:</w:t>
            </w:r>
          </w:p>
          <w:p w:rsidR="00547587" w:rsidRDefault="00547587" w:rsidP="00547587">
            <w:pPr>
              <w:pStyle w:val="Default"/>
              <w:jc w:val="both"/>
              <w:rPr>
                <w:sz w:val="20"/>
                <w:szCs w:val="20"/>
              </w:rPr>
            </w:pPr>
            <w:r>
              <w:rPr>
                <w:sz w:val="20"/>
                <w:szCs w:val="20"/>
              </w:rPr>
              <w:t>AntragstellerIn ist ledig, alleinerziehend und betreut zwei Kinder unter 14 Jahren im eigenen Haushalt: maximale monatliche Fördersumme: 892 Euro + Kinderzuschlag von 2 x 235 Euro + Pauschale für die Kinderbetreuung von 150 Euro</w:t>
            </w:r>
          </w:p>
          <w:p w:rsidR="00547587" w:rsidRDefault="00547587" w:rsidP="00547587">
            <w:pPr>
              <w:pStyle w:val="Default"/>
              <w:rPr>
                <w:sz w:val="20"/>
                <w:szCs w:val="20"/>
              </w:rPr>
            </w:pPr>
          </w:p>
          <w:p w:rsidR="00547587" w:rsidRDefault="00547587" w:rsidP="00547587">
            <w:pPr>
              <w:pStyle w:val="Default"/>
              <w:jc w:val="both"/>
              <w:rPr>
                <w:sz w:val="20"/>
                <w:szCs w:val="20"/>
              </w:rPr>
            </w:pPr>
            <w:r>
              <w:rPr>
                <w:sz w:val="20"/>
                <w:szCs w:val="20"/>
              </w:rPr>
              <w:t>Der Antragsteller darf über ein eigenes Vermögen von bis zu 45.000 Euro verfügen, das nicht auf die Fördersumme angerechnet wird.</w:t>
            </w:r>
          </w:p>
          <w:p w:rsidR="00547587" w:rsidRDefault="00547587" w:rsidP="00547587">
            <w:pPr>
              <w:pStyle w:val="Default"/>
              <w:jc w:val="both"/>
              <w:rPr>
                <w:sz w:val="20"/>
                <w:szCs w:val="20"/>
              </w:rPr>
            </w:pPr>
          </w:p>
          <w:p w:rsidR="003B2D77" w:rsidRDefault="00547587" w:rsidP="00CB07F4">
            <w:pPr>
              <w:pStyle w:val="Default"/>
              <w:jc w:val="both"/>
              <w:rPr>
                <w:sz w:val="20"/>
                <w:szCs w:val="20"/>
              </w:rPr>
            </w:pPr>
            <w:r>
              <w:rPr>
                <w:sz w:val="20"/>
                <w:szCs w:val="20"/>
              </w:rPr>
              <w:t>Bei Verheirateten sind die Vermögensverhältnisse und der Verdienst des Ehepartners entscheidend. In der Vergangenheit hat sich gezeigt, dass hier eher kein Anspruch auf Förderung besteht.</w:t>
            </w:r>
            <w:r w:rsidR="00F2331F">
              <w:rPr>
                <w:sz w:val="20"/>
                <w:szCs w:val="20"/>
              </w:rPr>
              <w:t xml:space="preserve"> Es kommt aber auf den konkreten Fall an.</w:t>
            </w:r>
          </w:p>
          <w:p w:rsidR="003B2D77" w:rsidRDefault="003B2D77" w:rsidP="00CB07F4">
            <w:pPr>
              <w:pStyle w:val="Default"/>
              <w:jc w:val="both"/>
              <w:rPr>
                <w:sz w:val="20"/>
                <w:szCs w:val="20"/>
              </w:rPr>
            </w:pPr>
          </w:p>
          <w:p w:rsidR="003B2D77" w:rsidRDefault="003B2D77" w:rsidP="00CB07F4">
            <w:pPr>
              <w:pStyle w:val="Default"/>
              <w:jc w:val="both"/>
              <w:rPr>
                <w:sz w:val="20"/>
                <w:szCs w:val="20"/>
              </w:rPr>
            </w:pPr>
          </w:p>
          <w:p w:rsidR="003B2D77" w:rsidRDefault="003B2D77" w:rsidP="00CB07F4">
            <w:pPr>
              <w:pStyle w:val="Default"/>
              <w:jc w:val="both"/>
              <w:rPr>
                <w:sz w:val="20"/>
                <w:szCs w:val="20"/>
              </w:rPr>
            </w:pPr>
          </w:p>
          <w:p w:rsidR="003B2D77" w:rsidRDefault="003B2D77" w:rsidP="00CB07F4">
            <w:pPr>
              <w:pStyle w:val="Default"/>
              <w:jc w:val="both"/>
              <w:rPr>
                <w:sz w:val="20"/>
                <w:szCs w:val="20"/>
              </w:rPr>
            </w:pPr>
          </w:p>
          <w:p w:rsidR="003B2D77" w:rsidRDefault="003B2D77" w:rsidP="00CB07F4">
            <w:pPr>
              <w:pStyle w:val="Default"/>
              <w:jc w:val="both"/>
              <w:rPr>
                <w:sz w:val="20"/>
                <w:szCs w:val="20"/>
              </w:rPr>
            </w:pPr>
          </w:p>
          <w:p w:rsidR="00CB07F4" w:rsidRPr="00990E76" w:rsidRDefault="00CB07F4" w:rsidP="00B53C3F"/>
        </w:tc>
        <w:tc>
          <w:tcPr>
            <w:tcW w:w="431" w:type="dxa"/>
            <w:tcBorders>
              <w:bottom w:val="nil"/>
            </w:tcBorders>
          </w:tcPr>
          <w:p w:rsidR="00D8246B" w:rsidRPr="005F0F31" w:rsidRDefault="00D8246B" w:rsidP="00B53C3F">
            <w:pPr>
              <w:rPr>
                <w:noProof/>
              </w:rPr>
            </w:pPr>
          </w:p>
        </w:tc>
        <w:tc>
          <w:tcPr>
            <w:tcW w:w="4260" w:type="dxa"/>
            <w:vMerge w:val="restart"/>
            <w:tcBorders>
              <w:bottom w:val="nil"/>
            </w:tcBorders>
          </w:tcPr>
          <w:p w:rsidR="00D8246B" w:rsidRDefault="00D8246B" w:rsidP="00D8246B">
            <w:pPr>
              <w:tabs>
                <w:tab w:val="left" w:pos="1332"/>
                <w:tab w:val="right" w:pos="4366"/>
              </w:tabs>
              <w:rPr>
                <w:noProof/>
                <w:sz w:val="10"/>
                <w:szCs w:val="10"/>
              </w:rPr>
            </w:pPr>
            <w:r>
              <w:rPr>
                <w:noProof/>
                <w:sz w:val="10"/>
                <w:szCs w:val="10"/>
              </w:rPr>
              <w:tab/>
              <w:t xml:space="preserve">                     </w:t>
            </w:r>
          </w:p>
          <w:p w:rsidR="00D8246B" w:rsidRDefault="00D8246B" w:rsidP="00B53C3F">
            <w:pPr>
              <w:rPr>
                <w:noProof/>
                <w:sz w:val="10"/>
                <w:szCs w:val="10"/>
              </w:rPr>
            </w:pPr>
            <w:r w:rsidRPr="00D8246B">
              <w:rPr>
                <w:noProof/>
                <w:bdr w:val="single" w:sz="4" w:space="0" w:color="auto"/>
                <w:lang w:eastAsia="de-DE"/>
              </w:rPr>
              <w:drawing>
                <wp:inline distT="0" distB="0" distL="0" distR="0">
                  <wp:extent cx="2263020" cy="1363980"/>
                  <wp:effectExtent l="19050" t="0" r="3930" b="0"/>
                  <wp:docPr id="11" name="Bild 2" descr="C:\Users\Thomas\Documents\Wordle- PivA\wordl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ocuments\Wordle- PivA\wordle 12.png"/>
                          <pic:cNvPicPr>
                            <a:picLocks noChangeAspect="1" noChangeArrowheads="1"/>
                          </pic:cNvPicPr>
                        </pic:nvPicPr>
                        <pic:blipFill>
                          <a:blip r:embed="rId12" cstate="print"/>
                          <a:srcRect/>
                          <a:stretch>
                            <a:fillRect/>
                          </a:stretch>
                        </pic:blipFill>
                        <pic:spPr bwMode="auto">
                          <a:xfrm>
                            <a:off x="0" y="0"/>
                            <a:ext cx="2263133" cy="1364048"/>
                          </a:xfrm>
                          <a:prstGeom prst="bevel">
                            <a:avLst/>
                          </a:prstGeom>
                          <a:noFill/>
                          <a:ln w="9525">
                            <a:noFill/>
                            <a:miter lim="800000"/>
                            <a:headEnd/>
                            <a:tailEnd/>
                          </a:ln>
                        </pic:spPr>
                      </pic:pic>
                    </a:graphicData>
                  </a:graphic>
                </wp:inline>
              </w:drawing>
            </w:r>
          </w:p>
          <w:p w:rsidR="00D8246B" w:rsidRDefault="00D8246B" w:rsidP="00B53C3F">
            <w:pPr>
              <w:rPr>
                <w:noProof/>
                <w:sz w:val="10"/>
                <w:szCs w:val="10"/>
              </w:rPr>
            </w:pPr>
          </w:p>
          <w:p w:rsidR="00D8246B" w:rsidRDefault="00D8246B" w:rsidP="00B53C3F">
            <w:pPr>
              <w:rPr>
                <w:noProof/>
                <w:sz w:val="10"/>
                <w:szCs w:val="10"/>
              </w:rPr>
            </w:pPr>
            <w:r>
              <w:rPr>
                <w:noProof/>
                <w:sz w:val="10"/>
                <w:szCs w:val="10"/>
              </w:rPr>
              <w:t xml:space="preserve">                                                                     </w:t>
            </w:r>
            <w:r>
              <w:rPr>
                <w:noProof/>
                <w:sz w:val="10"/>
                <w:szCs w:val="10"/>
                <w:lang w:eastAsia="de-DE"/>
              </w:rPr>
              <w:drawing>
                <wp:inline distT="0" distB="0" distL="0" distR="0">
                  <wp:extent cx="1539240" cy="1518792"/>
                  <wp:effectExtent l="19050" t="0" r="3810" b="0"/>
                  <wp:docPr id="6" name="Grafik 23" descr="Frontseite Flyer - Erzieherinnen bei der 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seite Flyer - Erzieherinnen bei der Arbeit.jpg"/>
                          <pic:cNvPicPr/>
                        </pic:nvPicPr>
                        <pic:blipFill>
                          <a:blip r:embed="rId13" cstate="print"/>
                          <a:stretch>
                            <a:fillRect/>
                          </a:stretch>
                        </pic:blipFill>
                        <pic:spPr>
                          <a:xfrm>
                            <a:off x="0" y="0"/>
                            <a:ext cx="1543761" cy="1523253"/>
                          </a:xfrm>
                          <a:prstGeom prst="bevel">
                            <a:avLst/>
                          </a:prstGeom>
                        </pic:spPr>
                      </pic:pic>
                    </a:graphicData>
                  </a:graphic>
                </wp:inline>
              </w:drawing>
            </w:r>
          </w:p>
          <w:p w:rsidR="00C212D2" w:rsidRDefault="00C212D2" w:rsidP="00B53C3F">
            <w:pPr>
              <w:rPr>
                <w:noProof/>
                <w:sz w:val="10"/>
                <w:szCs w:val="10"/>
              </w:rPr>
            </w:pPr>
          </w:p>
          <w:p w:rsidR="00F2331F" w:rsidRDefault="00D8246B" w:rsidP="00547587">
            <w:pPr>
              <w:pStyle w:val="Default"/>
              <w:rPr>
                <w:noProof/>
              </w:rPr>
            </w:pPr>
            <w:r>
              <w:rPr>
                <w:noProof/>
                <w:lang w:eastAsia="de-DE"/>
              </w:rPr>
              <w:drawing>
                <wp:inline distT="0" distB="0" distL="0" distR="0">
                  <wp:extent cx="1649730" cy="1831956"/>
                  <wp:effectExtent l="19050" t="0" r="7620" b="0"/>
                  <wp:docPr id="7" name="Grafik 4" descr="Saalburgschule - Flyer - Tag der offenen Tür - groß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burgschule - Flyer - Tag der offenen Tür - großes Logo.jpg"/>
                          <pic:cNvPicPr/>
                        </pic:nvPicPr>
                        <pic:blipFill>
                          <a:blip r:embed="rId14" cstate="print"/>
                          <a:stretch>
                            <a:fillRect/>
                          </a:stretch>
                        </pic:blipFill>
                        <pic:spPr>
                          <a:xfrm>
                            <a:off x="0" y="0"/>
                            <a:ext cx="1652992" cy="1835578"/>
                          </a:xfrm>
                          <a:prstGeom prst="bevel">
                            <a:avLst/>
                          </a:prstGeom>
                        </pic:spPr>
                      </pic:pic>
                    </a:graphicData>
                  </a:graphic>
                </wp:inline>
              </w:drawing>
            </w:r>
            <w:r w:rsidR="00713437">
              <w:rPr>
                <w:noProof/>
              </w:rPr>
              <w:t xml:space="preserve">                                                     </w:t>
            </w:r>
          </w:p>
          <w:p w:rsidR="00F2331F" w:rsidRDefault="00F2331F" w:rsidP="00547587">
            <w:pPr>
              <w:pStyle w:val="Default"/>
              <w:rPr>
                <w:noProof/>
              </w:rPr>
            </w:pPr>
          </w:p>
          <w:p w:rsidR="00547587" w:rsidRDefault="00547587" w:rsidP="00547587">
            <w:pPr>
              <w:pStyle w:val="Default"/>
              <w:rPr>
                <w:b/>
              </w:rPr>
            </w:pPr>
            <w:r>
              <w:rPr>
                <w:b/>
              </w:rPr>
              <w:lastRenderedPageBreak/>
              <w:t>Wo und wie wird das BAföG beantragt?</w:t>
            </w:r>
          </w:p>
          <w:p w:rsidR="00547587" w:rsidRDefault="00547587" w:rsidP="00547587">
            <w:pPr>
              <w:pStyle w:val="Default"/>
              <w:jc w:val="both"/>
              <w:rPr>
                <w:sz w:val="20"/>
                <w:szCs w:val="20"/>
              </w:rPr>
            </w:pPr>
            <w:r>
              <w:rPr>
                <w:sz w:val="20"/>
                <w:szCs w:val="20"/>
              </w:rPr>
              <w:t xml:space="preserve">Das BAföG muss bei dem jeweils zuständigen Amt auf kommunaler Ebene beantragt werden. Für die meisten Studierenden der SBS Usingen ist dies das Studierendenwerk Marburg. Informationen und auch die Antragsformulare erhalten Sie unter: </w:t>
            </w:r>
            <w:hyperlink r:id="rId15" w:history="1">
              <w:r w:rsidRPr="00D35B08">
                <w:rPr>
                  <w:rStyle w:val="Hyperlink"/>
                  <w:sz w:val="20"/>
                  <w:szCs w:val="20"/>
                </w:rPr>
                <w:t>https://studierendenwerk-marburg.de/</w:t>
              </w:r>
            </w:hyperlink>
            <w:r>
              <w:rPr>
                <w:sz w:val="20"/>
                <w:szCs w:val="20"/>
              </w:rPr>
              <w:t xml:space="preserve"> </w:t>
            </w:r>
          </w:p>
          <w:p w:rsidR="00F2331F" w:rsidRDefault="00F2331F" w:rsidP="00547587">
            <w:pPr>
              <w:pStyle w:val="Default"/>
              <w:jc w:val="both"/>
              <w:rPr>
                <w:sz w:val="20"/>
                <w:szCs w:val="20"/>
              </w:rPr>
            </w:pPr>
          </w:p>
          <w:p w:rsidR="00547587" w:rsidRDefault="00547587" w:rsidP="00547587">
            <w:pPr>
              <w:pStyle w:val="Default"/>
              <w:jc w:val="both"/>
              <w:rPr>
                <w:sz w:val="20"/>
                <w:szCs w:val="20"/>
              </w:rPr>
            </w:pPr>
            <w:r>
              <w:rPr>
                <w:sz w:val="20"/>
                <w:szCs w:val="20"/>
              </w:rPr>
              <w:t>Sie können sich natürlich auch telefonisch an das Studierendenwerk wenden, um sich für Ihre konkrete Situation zu informieren: 0</w:t>
            </w:r>
            <w:r w:rsidRPr="00165353">
              <w:rPr>
                <w:sz w:val="20"/>
                <w:szCs w:val="20"/>
              </w:rPr>
              <w:t>6421</w:t>
            </w:r>
            <w:r>
              <w:rPr>
                <w:sz w:val="20"/>
                <w:szCs w:val="20"/>
              </w:rPr>
              <w:t>-</w:t>
            </w:r>
            <w:r w:rsidRPr="00165353">
              <w:rPr>
                <w:sz w:val="20"/>
                <w:szCs w:val="20"/>
              </w:rPr>
              <w:t>2960</w:t>
            </w:r>
          </w:p>
          <w:p w:rsidR="00547587" w:rsidRDefault="00547587" w:rsidP="00547587">
            <w:pPr>
              <w:pStyle w:val="Default"/>
              <w:rPr>
                <w:sz w:val="20"/>
                <w:szCs w:val="20"/>
              </w:rPr>
            </w:pPr>
          </w:p>
          <w:p w:rsidR="00547587" w:rsidRDefault="00547587" w:rsidP="00547587">
            <w:pPr>
              <w:pStyle w:val="Default"/>
              <w:rPr>
                <w:b/>
              </w:rPr>
            </w:pPr>
            <w:r>
              <w:rPr>
                <w:b/>
              </w:rPr>
              <w:t>Wie lange wird das Aufstiegs-BAföG gezahlt?</w:t>
            </w:r>
          </w:p>
          <w:p w:rsidR="000A0882" w:rsidRDefault="00547587" w:rsidP="00F2331F">
            <w:pPr>
              <w:tabs>
                <w:tab w:val="left" w:pos="3036"/>
              </w:tabs>
              <w:jc w:val="both"/>
              <w:rPr>
                <w:sz w:val="20"/>
                <w:szCs w:val="20"/>
              </w:rPr>
            </w:pPr>
            <w:r w:rsidRPr="00F2331F">
              <w:rPr>
                <w:sz w:val="20"/>
                <w:szCs w:val="20"/>
              </w:rPr>
              <w:t>Das BAföG wird bis zum letzten Schultag der theoretischen Ausbildung, also über eine Zeit von zwei Jahren gezahlt.</w:t>
            </w:r>
          </w:p>
          <w:p w:rsidR="00F2331F" w:rsidRPr="00F2331F" w:rsidRDefault="00F2331F" w:rsidP="00F2331F">
            <w:pPr>
              <w:tabs>
                <w:tab w:val="left" w:pos="3036"/>
              </w:tabs>
              <w:jc w:val="both"/>
              <w:rPr>
                <w:noProof/>
                <w:sz w:val="20"/>
                <w:szCs w:val="20"/>
              </w:rPr>
            </w:pPr>
            <w:r>
              <w:rPr>
                <w:sz w:val="20"/>
                <w:szCs w:val="20"/>
              </w:rPr>
              <w:t>Das dritte Ausbildungsjahr der Vollzeitschulform ist das sogenannte Anerkennungsjahr. Dieses wird von der Ausbildungseinrichtung vergütet, sodass keine Förderung durch BAföG mehr erforderlich ist.</w:t>
            </w:r>
          </w:p>
        </w:tc>
      </w:tr>
      <w:tr w:rsidR="00D8246B" w:rsidRPr="005F0F31" w:rsidTr="00D8246B">
        <w:trPr>
          <w:trHeight w:val="450"/>
          <w:jc w:val="center"/>
        </w:trPr>
        <w:tc>
          <w:tcPr>
            <w:tcW w:w="4557" w:type="dxa"/>
            <w:vMerge/>
          </w:tcPr>
          <w:p w:rsidR="00D8246B" w:rsidRPr="005F0F31" w:rsidRDefault="00D8246B" w:rsidP="00B53C3F">
            <w:pPr>
              <w:rPr>
                <w:noProof/>
              </w:rPr>
            </w:pPr>
          </w:p>
        </w:tc>
        <w:tc>
          <w:tcPr>
            <w:tcW w:w="437" w:type="dxa"/>
          </w:tcPr>
          <w:p w:rsidR="00D8246B" w:rsidRPr="005F0F31" w:rsidRDefault="00D8246B" w:rsidP="00B53C3F">
            <w:pPr>
              <w:rPr>
                <w:noProof/>
              </w:rPr>
            </w:pPr>
          </w:p>
        </w:tc>
        <w:tc>
          <w:tcPr>
            <w:tcW w:w="4513" w:type="dxa"/>
          </w:tcPr>
          <w:p w:rsidR="00D8246B" w:rsidRPr="005F0F31" w:rsidRDefault="00D8246B" w:rsidP="00B53C3F">
            <w:pPr>
              <w:rPr>
                <w:rFonts w:eastAsia="Century Gothic"/>
                <w:b/>
                <w:noProof/>
                <w:color w:val="FFFFFF"/>
                <w:sz w:val="24"/>
              </w:rPr>
            </w:pPr>
          </w:p>
        </w:tc>
        <w:tc>
          <w:tcPr>
            <w:tcW w:w="431" w:type="dxa"/>
          </w:tcPr>
          <w:p w:rsidR="00D8246B" w:rsidRPr="005F0F31" w:rsidRDefault="00D8246B" w:rsidP="00B53C3F">
            <w:pPr>
              <w:rPr>
                <w:noProof/>
              </w:rPr>
            </w:pPr>
          </w:p>
        </w:tc>
        <w:tc>
          <w:tcPr>
            <w:tcW w:w="4260" w:type="dxa"/>
            <w:vMerge/>
          </w:tcPr>
          <w:p w:rsidR="00D8246B" w:rsidRPr="005F0F31" w:rsidRDefault="00D8246B" w:rsidP="00B53C3F">
            <w:pPr>
              <w:rPr>
                <w:sz w:val="21"/>
              </w:rPr>
            </w:pPr>
          </w:p>
        </w:tc>
      </w:tr>
      <w:tr w:rsidR="00D8246B" w:rsidRPr="005F0F31" w:rsidTr="00D8246B">
        <w:trPr>
          <w:trHeight w:val="4003"/>
          <w:jc w:val="center"/>
        </w:trPr>
        <w:tc>
          <w:tcPr>
            <w:tcW w:w="4557" w:type="dxa"/>
            <w:tcBorders>
              <w:bottom w:val="nil"/>
            </w:tcBorders>
          </w:tcPr>
          <w:p w:rsidR="00D8246B" w:rsidRPr="00990E76" w:rsidRDefault="00D8246B" w:rsidP="00B53C3F">
            <w:pPr>
              <w:spacing w:after="0"/>
            </w:pPr>
          </w:p>
        </w:tc>
        <w:tc>
          <w:tcPr>
            <w:tcW w:w="437" w:type="dxa"/>
            <w:tcBorders>
              <w:bottom w:val="nil"/>
            </w:tcBorders>
          </w:tcPr>
          <w:p w:rsidR="00D8246B" w:rsidRPr="005F0F31" w:rsidRDefault="00D8246B" w:rsidP="00B53C3F">
            <w:pPr>
              <w:rPr>
                <w:noProof/>
              </w:rPr>
            </w:pPr>
          </w:p>
        </w:tc>
        <w:tc>
          <w:tcPr>
            <w:tcW w:w="4513" w:type="dxa"/>
            <w:tcBorders>
              <w:bottom w:val="nil"/>
            </w:tcBorders>
          </w:tcPr>
          <w:p w:rsidR="00D8246B" w:rsidRPr="00990E76" w:rsidRDefault="00D8246B" w:rsidP="00B53C3F">
            <w:pPr>
              <w:spacing w:after="0"/>
            </w:pPr>
          </w:p>
        </w:tc>
        <w:tc>
          <w:tcPr>
            <w:tcW w:w="431" w:type="dxa"/>
            <w:tcBorders>
              <w:bottom w:val="nil"/>
            </w:tcBorders>
          </w:tcPr>
          <w:p w:rsidR="00D8246B" w:rsidRPr="005F0F31" w:rsidRDefault="00D8246B" w:rsidP="00B53C3F">
            <w:pPr>
              <w:rPr>
                <w:noProof/>
              </w:rPr>
            </w:pPr>
          </w:p>
        </w:tc>
        <w:tc>
          <w:tcPr>
            <w:tcW w:w="4260" w:type="dxa"/>
            <w:tcBorders>
              <w:bottom w:val="nil"/>
            </w:tcBorders>
          </w:tcPr>
          <w:p w:rsidR="00D8246B" w:rsidRPr="00136674" w:rsidRDefault="00D8246B" w:rsidP="00C212D2">
            <w:pPr>
              <w:pStyle w:val="Default"/>
              <w:rPr>
                <w:noProof/>
                <w:sz w:val="10"/>
                <w:szCs w:val="10"/>
              </w:rPr>
            </w:pPr>
          </w:p>
        </w:tc>
      </w:tr>
    </w:tbl>
    <w:p w:rsidR="00D8246B" w:rsidRDefault="00D8246B" w:rsidP="00713437"/>
    <w:sectPr w:rsidR="00D8246B" w:rsidSect="000837F1">
      <w:headerReference w:type="default" r:id="rId16"/>
      <w:footerReference w:type="default" r:id="rId17"/>
      <w:pgSz w:w="16838" w:h="11906" w:orient="landscape"/>
      <w:pgMar w:top="1418"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0E" w:rsidRDefault="0075370E" w:rsidP="00052714">
      <w:pPr>
        <w:spacing w:after="0"/>
      </w:pPr>
      <w:r>
        <w:separator/>
      </w:r>
    </w:p>
  </w:endnote>
  <w:endnote w:type="continuationSeparator" w:id="0">
    <w:p w:rsidR="0075370E" w:rsidRDefault="0075370E" w:rsidP="000527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14" w:rsidRPr="00C212D2" w:rsidRDefault="00052714" w:rsidP="00C212D2">
    <w:pPr>
      <w:pStyle w:val="Kopfzeile"/>
      <w:jc w:val="center"/>
      <w:rPr>
        <w:color w:val="FF0000"/>
        <w:sz w:val="20"/>
        <w:szCs w:val="20"/>
      </w:rPr>
    </w:pPr>
    <w:r w:rsidRPr="00052714">
      <w:rPr>
        <w:color w:val="FF0000"/>
        <w:sz w:val="20"/>
        <w:szCs w:val="20"/>
      </w:rPr>
      <w:t>Saalburgschule Usingen +++ Fachschule Sozialwesen +++ Ausbildung zur Erzieher:in +++ Saalburgschule Usingen +++ Fachschule Sozialwesen +++ Ausbildung zur Erzieher:in</w:t>
    </w:r>
    <w:r w:rsidR="00C212D2">
      <w:rPr>
        <w:color w:val="FF000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0E" w:rsidRDefault="0075370E" w:rsidP="00052714">
      <w:pPr>
        <w:spacing w:after="0"/>
      </w:pPr>
      <w:r>
        <w:separator/>
      </w:r>
    </w:p>
  </w:footnote>
  <w:footnote w:type="continuationSeparator" w:id="0">
    <w:p w:rsidR="0075370E" w:rsidRDefault="0075370E" w:rsidP="000527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D2" w:rsidRPr="00C212D2" w:rsidRDefault="00C212D2" w:rsidP="00C212D2">
    <w:pPr>
      <w:pStyle w:val="Kopfzeile"/>
      <w:jc w:val="center"/>
      <w:rPr>
        <w:color w:val="FF0000"/>
        <w:sz w:val="20"/>
        <w:szCs w:val="20"/>
      </w:rPr>
    </w:pPr>
    <w:r w:rsidRPr="00052714">
      <w:rPr>
        <w:color w:val="FF0000"/>
        <w:sz w:val="20"/>
        <w:szCs w:val="20"/>
      </w:rPr>
      <w:t>Saalburgschule Usingen +++ Fachschule Sozialwesen +++ Ausbildung zur Erzieher:in +++ Saalburgschule Usingen +++ Fachschule Sozialwesen +++ Ausbildung zur Erzieher:in</w:t>
    </w:r>
    <w:r>
      <w:rPr>
        <w:color w:val="FF0000"/>
        <w:sz w:val="20"/>
        <w:szCs w:val="20"/>
      </w:rPr>
      <w:t>+++</w:t>
    </w:r>
  </w:p>
  <w:p w:rsidR="00052714" w:rsidRPr="00C212D2" w:rsidRDefault="00052714" w:rsidP="00C212D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619"/>
    <w:multiLevelType w:val="hybridMultilevel"/>
    <w:tmpl w:val="39F4C0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FD7E8F"/>
    <w:multiLevelType w:val="hybridMultilevel"/>
    <w:tmpl w:val="F774A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DE2D3C"/>
    <w:multiLevelType w:val="hybridMultilevel"/>
    <w:tmpl w:val="419ED3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A423989"/>
    <w:multiLevelType w:val="hybridMultilevel"/>
    <w:tmpl w:val="EC78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A2604B"/>
    <w:multiLevelType w:val="hybridMultilevel"/>
    <w:tmpl w:val="DBBE8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4CE6348"/>
    <w:multiLevelType w:val="hybridMultilevel"/>
    <w:tmpl w:val="B3705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52714"/>
    <w:rsid w:val="00052714"/>
    <w:rsid w:val="000837F1"/>
    <w:rsid w:val="000A0882"/>
    <w:rsid w:val="000C1E19"/>
    <w:rsid w:val="00165353"/>
    <w:rsid w:val="00216359"/>
    <w:rsid w:val="002265BE"/>
    <w:rsid w:val="002B72C9"/>
    <w:rsid w:val="003553B4"/>
    <w:rsid w:val="003B2D77"/>
    <w:rsid w:val="003C22AA"/>
    <w:rsid w:val="0043628F"/>
    <w:rsid w:val="00443E76"/>
    <w:rsid w:val="004F13BB"/>
    <w:rsid w:val="00547587"/>
    <w:rsid w:val="005B59E4"/>
    <w:rsid w:val="005E5A38"/>
    <w:rsid w:val="00647B98"/>
    <w:rsid w:val="006A4483"/>
    <w:rsid w:val="006F79A7"/>
    <w:rsid w:val="00713437"/>
    <w:rsid w:val="00725AB6"/>
    <w:rsid w:val="0075370E"/>
    <w:rsid w:val="007F1333"/>
    <w:rsid w:val="00837352"/>
    <w:rsid w:val="008E6A7D"/>
    <w:rsid w:val="00B469AB"/>
    <w:rsid w:val="00BE47D7"/>
    <w:rsid w:val="00C101F6"/>
    <w:rsid w:val="00C212D2"/>
    <w:rsid w:val="00C76155"/>
    <w:rsid w:val="00CB07F4"/>
    <w:rsid w:val="00D32975"/>
    <w:rsid w:val="00D55493"/>
    <w:rsid w:val="00D8246B"/>
    <w:rsid w:val="00DD61EE"/>
    <w:rsid w:val="00DF42AF"/>
    <w:rsid w:val="00E2037E"/>
    <w:rsid w:val="00E468BF"/>
    <w:rsid w:val="00F233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714"/>
    <w:pPr>
      <w:spacing w:after="16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2714"/>
    <w:pPr>
      <w:tabs>
        <w:tab w:val="center" w:pos="4536"/>
        <w:tab w:val="right" w:pos="9072"/>
      </w:tabs>
      <w:spacing w:after="0"/>
    </w:pPr>
  </w:style>
  <w:style w:type="character" w:customStyle="1" w:styleId="KopfzeileZchn">
    <w:name w:val="Kopfzeile Zchn"/>
    <w:basedOn w:val="Absatz-Standardschriftart"/>
    <w:link w:val="Kopfzeile"/>
    <w:uiPriority w:val="99"/>
    <w:rsid w:val="00052714"/>
  </w:style>
  <w:style w:type="paragraph" w:styleId="Fuzeile">
    <w:name w:val="footer"/>
    <w:basedOn w:val="Standard"/>
    <w:link w:val="FuzeileZchn"/>
    <w:uiPriority w:val="99"/>
    <w:semiHidden/>
    <w:unhideWhenUsed/>
    <w:rsid w:val="00052714"/>
    <w:pPr>
      <w:tabs>
        <w:tab w:val="center" w:pos="4536"/>
        <w:tab w:val="right" w:pos="9072"/>
      </w:tabs>
      <w:spacing w:after="0"/>
    </w:pPr>
  </w:style>
  <w:style w:type="character" w:customStyle="1" w:styleId="FuzeileZchn">
    <w:name w:val="Fußzeile Zchn"/>
    <w:basedOn w:val="Absatz-Standardschriftart"/>
    <w:link w:val="Fuzeile"/>
    <w:uiPriority w:val="99"/>
    <w:semiHidden/>
    <w:rsid w:val="00052714"/>
  </w:style>
  <w:style w:type="paragraph" w:styleId="Sprechblasentext">
    <w:name w:val="Balloon Text"/>
    <w:basedOn w:val="Standard"/>
    <w:link w:val="SprechblasentextZchn"/>
    <w:uiPriority w:val="99"/>
    <w:semiHidden/>
    <w:unhideWhenUsed/>
    <w:rsid w:val="0005271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714"/>
    <w:rPr>
      <w:rFonts w:ascii="Tahoma" w:hAnsi="Tahoma" w:cs="Tahoma"/>
      <w:sz w:val="16"/>
      <w:szCs w:val="16"/>
    </w:rPr>
  </w:style>
  <w:style w:type="character" w:styleId="Hyperlink">
    <w:name w:val="Hyperlink"/>
    <w:basedOn w:val="Absatz-Standardschriftart"/>
    <w:uiPriority w:val="99"/>
    <w:unhideWhenUsed/>
    <w:rsid w:val="00052714"/>
    <w:rPr>
      <w:color w:val="0000FF" w:themeColor="hyperlink"/>
      <w:u w:val="single"/>
    </w:rPr>
  </w:style>
  <w:style w:type="paragraph" w:styleId="StandardWeb">
    <w:name w:val="Normal (Web)"/>
    <w:basedOn w:val="Standard"/>
    <w:uiPriority w:val="99"/>
    <w:semiHidden/>
    <w:unhideWhenUsed/>
    <w:rsid w:val="00052714"/>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52714"/>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47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fstiegs-bafoeg.de/aufstiegsbafoeg/de/home/home_node.htm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zieherin-ausbildung.de/content/aufstiegs-bafog-forderungen-fur-die-ausbildung-zur-erzieherin"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wgi.de/" TargetMode="External"/><Relationship Id="rId5" Type="http://schemas.openxmlformats.org/officeDocument/2006/relationships/footnotes" Target="footnotes.xml"/><Relationship Id="rId15" Type="http://schemas.openxmlformats.org/officeDocument/2006/relationships/hyperlink" Target="https://studierendenwerk-marburg.de/" TargetMode="External"/><Relationship Id="rId10" Type="http://schemas.openxmlformats.org/officeDocument/2006/relationships/hyperlink" Target="https://studierendenwerk-marbur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foeg-aktuell.de/aufstiegs-bafoeg/" TargetMode="External"/><Relationship Id="rId14"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chris</cp:lastModifiedBy>
  <cp:revision>2</cp:revision>
  <cp:lastPrinted>2024-01-17T18:16:00Z</cp:lastPrinted>
  <dcterms:created xsi:type="dcterms:W3CDTF">2024-02-06T05:20:00Z</dcterms:created>
  <dcterms:modified xsi:type="dcterms:W3CDTF">2024-02-06T05:20:00Z</dcterms:modified>
</cp:coreProperties>
</file>